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05C" w:rsidRPr="0015505C" w:rsidRDefault="0015505C" w:rsidP="0015505C">
      <w:pPr>
        <w:autoSpaceDE w:val="0"/>
        <w:autoSpaceDN w:val="0"/>
        <w:adjustRightInd w:val="0"/>
        <w:spacing w:after="0" w:line="240" w:lineRule="auto"/>
        <w:rPr>
          <w:rFonts w:ascii="Calibri" w:eastAsia="Times New Roman" w:hAnsi="Calibri" w:cs="Calibri"/>
          <w:i/>
          <w:color w:val="000000"/>
          <w:sz w:val="28"/>
          <w:szCs w:val="28"/>
        </w:rPr>
      </w:pPr>
      <w:r w:rsidRPr="0015505C">
        <w:rPr>
          <w:rFonts w:ascii="Calibri" w:eastAsia="Times New Roman" w:hAnsi="Calibri" w:cs="Calibri"/>
          <w:b/>
          <w:i/>
          <w:color w:val="000000"/>
          <w:sz w:val="28"/>
          <w:szCs w:val="28"/>
        </w:rPr>
        <w:t>Robust analysis of variance</w:t>
      </w:r>
      <w:r w:rsidRPr="0015505C">
        <w:rPr>
          <w:rFonts w:ascii="Calibri" w:eastAsia="Times New Roman" w:hAnsi="Calibri" w:cs="Calibri"/>
          <w:i/>
          <w:color w:val="000000"/>
          <w:sz w:val="28"/>
          <w:szCs w:val="28"/>
        </w:rPr>
        <w:t xml:space="preserve"> (including example)</w:t>
      </w:r>
    </w:p>
    <w:p w:rsidR="0015505C" w:rsidRPr="0015505C" w:rsidRDefault="0015505C" w:rsidP="0015505C">
      <w:pPr>
        <w:autoSpaceDE w:val="0"/>
        <w:autoSpaceDN w:val="0"/>
        <w:adjustRightInd w:val="0"/>
        <w:spacing w:after="0" w:line="240" w:lineRule="auto"/>
        <w:rPr>
          <w:rFonts w:ascii="Calibri" w:eastAsia="Times New Roman" w:hAnsi="Calibri" w:cs="Calibri"/>
          <w:color w:val="000000"/>
          <w:sz w:val="28"/>
          <w:szCs w:val="28"/>
        </w:rPr>
      </w:pPr>
    </w:p>
    <w:p w:rsidR="0015505C" w:rsidRPr="0015505C" w:rsidRDefault="0015505C" w:rsidP="0015505C">
      <w:pPr>
        <w:autoSpaceDE w:val="0"/>
        <w:autoSpaceDN w:val="0"/>
        <w:adjustRightInd w:val="0"/>
        <w:spacing w:after="0" w:line="240" w:lineRule="auto"/>
        <w:rPr>
          <w:rFonts w:ascii="Calibri" w:eastAsia="Times New Roman" w:hAnsi="Calibri" w:cs="Calibri"/>
          <w:color w:val="000000"/>
          <w:sz w:val="28"/>
          <w:szCs w:val="28"/>
        </w:rPr>
      </w:pPr>
      <w:r w:rsidRPr="0015505C">
        <w:rPr>
          <w:rFonts w:ascii="Calibri" w:eastAsia="Times New Roman" w:hAnsi="Calibri" w:cs="Calibri"/>
          <w:color w:val="000000"/>
          <w:sz w:val="28"/>
          <w:szCs w:val="28"/>
        </w:rPr>
        <w:t xml:space="preserve">Using this method of acquiring duplicate measurements results in a table of measured concentrations, such as those in Fig 3. This shows duplicated measurements from a land area that had potentially been affected by  radioactive contamination, with the  balanced design (left) and the unbalanced design (right). </w:t>
      </w:r>
    </w:p>
    <w:p w:rsidR="0015505C" w:rsidRPr="0015505C" w:rsidRDefault="0015505C" w:rsidP="0015505C">
      <w:pPr>
        <w:autoSpaceDE w:val="0"/>
        <w:autoSpaceDN w:val="0"/>
        <w:adjustRightInd w:val="0"/>
        <w:spacing w:after="0" w:line="240" w:lineRule="auto"/>
        <w:rPr>
          <w:rFonts w:ascii="Calibri" w:eastAsia="Times New Roman" w:hAnsi="Calibri" w:cs="Calibri"/>
          <w:color w:val="000000"/>
          <w:sz w:val="28"/>
          <w:szCs w:val="28"/>
        </w:rPr>
      </w:pPr>
    </w:p>
    <w:p w:rsidR="0015505C" w:rsidRPr="0015505C" w:rsidRDefault="0015505C" w:rsidP="0015505C">
      <w:pPr>
        <w:autoSpaceDE w:val="0"/>
        <w:autoSpaceDN w:val="0"/>
        <w:adjustRightInd w:val="0"/>
        <w:spacing w:after="0" w:line="240" w:lineRule="auto"/>
        <w:rPr>
          <w:rFonts w:ascii="Calibri" w:eastAsia="Times New Roman" w:hAnsi="Calibri" w:cs="Arial"/>
          <w:sz w:val="28"/>
          <w:szCs w:val="24"/>
        </w:rPr>
      </w:pPr>
      <w:r>
        <w:rPr>
          <w:rFonts w:ascii="Arial" w:hAnsi="Arial" w:cs="Arial"/>
          <w:noProof/>
          <w:sz w:val="24"/>
          <w:szCs w:val="24"/>
          <w:lang w:eastAsia="en-GB"/>
        </w:rPr>
        <w:drawing>
          <wp:inline distT="0" distB="0" distL="0" distR="0">
            <wp:extent cx="5829300" cy="36671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5829300" cy="3667125"/>
                    </a:xfrm>
                    <a:prstGeom prst="rect">
                      <a:avLst/>
                    </a:prstGeom>
                    <a:noFill/>
                    <a:ln w="9525">
                      <a:noFill/>
                      <a:miter lim="800000"/>
                      <a:headEnd/>
                      <a:tailEnd/>
                    </a:ln>
                  </pic:spPr>
                </pic:pic>
              </a:graphicData>
            </a:graphic>
          </wp:inline>
        </w:drawing>
      </w:r>
    </w:p>
    <w:p w:rsidR="0015505C" w:rsidRPr="0015505C" w:rsidRDefault="0015505C" w:rsidP="0015505C">
      <w:pPr>
        <w:autoSpaceDE w:val="0"/>
        <w:autoSpaceDN w:val="0"/>
        <w:adjustRightInd w:val="0"/>
        <w:spacing w:after="0" w:line="240" w:lineRule="auto"/>
        <w:rPr>
          <w:rFonts w:ascii="Calibri" w:eastAsia="Times New Roman" w:hAnsi="Calibri" w:cs="Arial"/>
          <w:sz w:val="28"/>
          <w:szCs w:val="24"/>
        </w:rPr>
      </w:pPr>
    </w:p>
    <w:p w:rsidR="0015505C" w:rsidRPr="0015505C" w:rsidRDefault="0015505C" w:rsidP="0015505C">
      <w:pPr>
        <w:autoSpaceDE w:val="0"/>
        <w:autoSpaceDN w:val="0"/>
        <w:adjustRightInd w:val="0"/>
        <w:spacing w:after="0" w:line="240" w:lineRule="auto"/>
        <w:rPr>
          <w:rFonts w:ascii="Calibri" w:eastAsia="Times New Roman" w:hAnsi="Calibri" w:cs="Arial"/>
          <w:color w:val="000000"/>
          <w:sz w:val="28"/>
          <w:szCs w:val="24"/>
        </w:rPr>
      </w:pPr>
      <w:r w:rsidRPr="0015505C">
        <w:rPr>
          <w:rFonts w:ascii="Calibri" w:eastAsia="Times New Roman" w:hAnsi="Calibri" w:cs="Arial"/>
          <w:i/>
          <w:sz w:val="28"/>
          <w:szCs w:val="24"/>
        </w:rPr>
        <w:t xml:space="preserve">Fig 3 Examples of data generated by the duplicate method using the </w:t>
      </w:r>
      <w:r w:rsidRPr="0015505C">
        <w:rPr>
          <w:rFonts w:ascii="Calibri" w:eastAsia="Times New Roman" w:hAnsi="Calibri" w:cs="Arial"/>
          <w:b/>
          <w:i/>
          <w:sz w:val="28"/>
          <w:szCs w:val="24"/>
        </w:rPr>
        <w:t>balanced design</w:t>
      </w:r>
      <w:r w:rsidRPr="0015505C">
        <w:rPr>
          <w:rFonts w:ascii="Calibri" w:eastAsia="Times New Roman" w:hAnsi="Calibri" w:cs="Arial"/>
          <w:i/>
          <w:sz w:val="28"/>
          <w:szCs w:val="24"/>
        </w:rPr>
        <w:t xml:space="preserve"> (left) and the </w:t>
      </w:r>
      <w:r w:rsidRPr="0015505C">
        <w:rPr>
          <w:rFonts w:ascii="Calibri" w:eastAsia="Times New Roman" w:hAnsi="Calibri" w:cs="Arial"/>
          <w:b/>
          <w:i/>
          <w:sz w:val="28"/>
          <w:szCs w:val="24"/>
        </w:rPr>
        <w:t>unbalanced design</w:t>
      </w:r>
      <w:r w:rsidRPr="0015505C">
        <w:rPr>
          <w:rFonts w:ascii="Calibri" w:eastAsia="Times New Roman" w:hAnsi="Calibri" w:cs="Arial"/>
          <w:i/>
          <w:sz w:val="28"/>
          <w:szCs w:val="24"/>
        </w:rPr>
        <w:t xml:space="preserve"> (right). The highlighted row shows measurements with a high level of sampling variance compared with the remainder of the dataset. </w:t>
      </w:r>
      <w:r w:rsidRPr="0015505C">
        <w:rPr>
          <w:rFonts w:ascii="Calibri" w:eastAsia="Times New Roman" w:hAnsi="Calibri" w:cs="Arial"/>
          <w:i/>
          <w:color w:val="000000"/>
          <w:sz w:val="28"/>
          <w:szCs w:val="24"/>
        </w:rPr>
        <w:t>These data have been drawn from AMC Technical Brief Number ??</w:t>
      </w:r>
      <w:r w:rsidRPr="0015505C">
        <w:rPr>
          <w:rFonts w:ascii="Calibri" w:eastAsia="Times New Roman" w:hAnsi="Calibri" w:cs="Arial"/>
          <w:i/>
          <w:color w:val="000000"/>
          <w:sz w:val="28"/>
          <w:szCs w:val="24"/>
          <w:vertAlign w:val="superscript"/>
        </w:rPr>
        <w:t>8</w:t>
      </w:r>
      <w:r w:rsidRPr="0015505C">
        <w:rPr>
          <w:rFonts w:ascii="Calibri" w:eastAsia="Times New Roman" w:hAnsi="Calibri" w:cs="Arial"/>
          <w:i/>
          <w:color w:val="000000"/>
          <w:sz w:val="28"/>
          <w:szCs w:val="24"/>
        </w:rPr>
        <w:t xml:space="preserve">. </w:t>
      </w:r>
    </w:p>
    <w:p w:rsidR="0015505C" w:rsidRPr="0015505C" w:rsidRDefault="0015505C" w:rsidP="0015505C">
      <w:pPr>
        <w:autoSpaceDE w:val="0"/>
        <w:autoSpaceDN w:val="0"/>
        <w:adjustRightInd w:val="0"/>
        <w:spacing w:after="0" w:line="240" w:lineRule="auto"/>
        <w:rPr>
          <w:rFonts w:ascii="Calibri" w:eastAsia="Times New Roman" w:hAnsi="Calibri" w:cs="Arial"/>
          <w:sz w:val="28"/>
          <w:szCs w:val="24"/>
        </w:rPr>
      </w:pPr>
    </w:p>
    <w:p w:rsidR="0015505C" w:rsidRPr="0015505C" w:rsidRDefault="0015505C" w:rsidP="0015505C">
      <w:pPr>
        <w:autoSpaceDE w:val="0"/>
        <w:autoSpaceDN w:val="0"/>
        <w:adjustRightInd w:val="0"/>
        <w:spacing w:after="0" w:line="240" w:lineRule="auto"/>
        <w:rPr>
          <w:rFonts w:ascii="Calibri" w:eastAsia="Times New Roman" w:hAnsi="Calibri" w:cs="Arial"/>
          <w:sz w:val="28"/>
          <w:szCs w:val="24"/>
        </w:rPr>
      </w:pPr>
    </w:p>
    <w:p w:rsidR="0015505C" w:rsidRPr="0015505C" w:rsidRDefault="0015505C" w:rsidP="0015505C">
      <w:pPr>
        <w:autoSpaceDE w:val="0"/>
        <w:autoSpaceDN w:val="0"/>
        <w:adjustRightInd w:val="0"/>
        <w:spacing w:after="0" w:line="240" w:lineRule="auto"/>
        <w:rPr>
          <w:rFonts w:ascii="Calibri" w:eastAsia="Times New Roman" w:hAnsi="Calibri" w:cs="Arial"/>
          <w:sz w:val="28"/>
          <w:szCs w:val="24"/>
        </w:rPr>
      </w:pPr>
      <w:r w:rsidRPr="0015505C">
        <w:rPr>
          <w:rFonts w:ascii="Calibri" w:eastAsia="Times New Roman" w:hAnsi="Calibri" w:cs="Arial"/>
          <w:sz w:val="28"/>
          <w:szCs w:val="24"/>
        </w:rPr>
        <w:t xml:space="preserve">These datasets could be processed using </w:t>
      </w:r>
      <w:r w:rsidRPr="0015505C">
        <w:rPr>
          <w:rFonts w:ascii="Calibri" w:eastAsia="Times New Roman" w:hAnsi="Calibri" w:cs="Arial"/>
          <w:b/>
          <w:sz w:val="28"/>
          <w:szCs w:val="24"/>
        </w:rPr>
        <w:t>classical ANOVA</w:t>
      </w:r>
      <w:r w:rsidRPr="0015505C">
        <w:rPr>
          <w:rFonts w:ascii="Calibri" w:eastAsia="Times New Roman" w:hAnsi="Calibri" w:cs="Arial"/>
          <w:sz w:val="28"/>
          <w:szCs w:val="24"/>
        </w:rPr>
        <w:t xml:space="preserve">, provided by Excel and other software packages, and the components of the total variance that arise from differences between the measured values made from </w:t>
      </w:r>
      <w:r w:rsidRPr="0015505C">
        <w:rPr>
          <w:rFonts w:ascii="Calibri" w:eastAsia="Times New Roman" w:hAnsi="Calibri" w:cs="Arial"/>
          <w:i/>
          <w:sz w:val="28"/>
          <w:szCs w:val="24"/>
        </w:rPr>
        <w:t>Sample 1</w:t>
      </w:r>
      <w:r w:rsidRPr="0015505C">
        <w:rPr>
          <w:rFonts w:ascii="Calibri" w:eastAsia="Times New Roman" w:hAnsi="Calibri" w:cs="Arial"/>
          <w:sz w:val="28"/>
          <w:szCs w:val="24"/>
        </w:rPr>
        <w:t xml:space="preserve"> and </w:t>
      </w:r>
      <w:r w:rsidRPr="0015505C">
        <w:rPr>
          <w:rFonts w:ascii="Calibri" w:eastAsia="Times New Roman" w:hAnsi="Calibri" w:cs="Arial"/>
          <w:i/>
          <w:sz w:val="28"/>
          <w:szCs w:val="24"/>
        </w:rPr>
        <w:t>Sample 2</w:t>
      </w:r>
      <w:r w:rsidRPr="0015505C">
        <w:rPr>
          <w:rFonts w:ascii="Calibri" w:eastAsia="Times New Roman" w:hAnsi="Calibri" w:cs="Arial"/>
          <w:sz w:val="28"/>
          <w:szCs w:val="24"/>
        </w:rPr>
        <w:t xml:space="preserve"> used to estimate the random component of uncertainty in the measurements that results from the sampling protocol used. In a similar way, the variances that arise from differences between the measured values made from </w:t>
      </w:r>
      <w:r w:rsidRPr="0015505C">
        <w:rPr>
          <w:rFonts w:ascii="Calibri" w:eastAsia="Times New Roman" w:hAnsi="Calibri" w:cs="Arial"/>
          <w:i/>
          <w:sz w:val="28"/>
          <w:szCs w:val="24"/>
        </w:rPr>
        <w:t>Analysis 1</w:t>
      </w:r>
      <w:r w:rsidRPr="0015505C">
        <w:rPr>
          <w:rFonts w:ascii="Calibri" w:eastAsia="Times New Roman" w:hAnsi="Calibri" w:cs="Arial"/>
          <w:sz w:val="28"/>
          <w:szCs w:val="24"/>
        </w:rPr>
        <w:t xml:space="preserve"> and </w:t>
      </w:r>
      <w:r w:rsidRPr="0015505C">
        <w:rPr>
          <w:rFonts w:ascii="Calibri" w:eastAsia="Times New Roman" w:hAnsi="Calibri" w:cs="Arial"/>
          <w:i/>
          <w:sz w:val="28"/>
          <w:szCs w:val="24"/>
        </w:rPr>
        <w:t>Analysis 2</w:t>
      </w:r>
      <w:r w:rsidRPr="0015505C">
        <w:rPr>
          <w:rFonts w:ascii="Calibri" w:eastAsia="Times New Roman" w:hAnsi="Calibri" w:cs="Arial"/>
          <w:sz w:val="28"/>
          <w:szCs w:val="24"/>
        </w:rPr>
        <w:t xml:space="preserve"> could be used to estimate the random component of uncertainty due to the analytical procedure. In real data </w:t>
      </w:r>
      <w:r w:rsidRPr="0015505C">
        <w:rPr>
          <w:rFonts w:ascii="Calibri" w:eastAsia="Times New Roman" w:hAnsi="Calibri" w:cs="Arial"/>
          <w:sz w:val="28"/>
          <w:szCs w:val="24"/>
        </w:rPr>
        <w:lastRenderedPageBreak/>
        <w:t>however, a small proportion of outlying measurements (i.e. less than 10%) are often found to exist</w:t>
      </w:r>
      <w:r w:rsidRPr="0015505C">
        <w:rPr>
          <w:rFonts w:ascii="Calibri" w:eastAsia="Times New Roman" w:hAnsi="Calibri" w:cs="Arial"/>
          <w:sz w:val="28"/>
          <w:szCs w:val="24"/>
          <w:vertAlign w:val="superscript"/>
        </w:rPr>
        <w:t>1</w:t>
      </w:r>
      <w:r w:rsidRPr="0015505C">
        <w:rPr>
          <w:rFonts w:ascii="Calibri" w:eastAsia="Times New Roman" w:hAnsi="Calibri" w:cs="Arial"/>
          <w:sz w:val="28"/>
          <w:szCs w:val="24"/>
        </w:rPr>
        <w:t>. The highlighted row in Fig 3 shows an example where the sampling variance appears high compared to the rest of the population. These outlying values can seriously distort the variances estimated by classical ANOVA. Using such estimates could result in a serious error in subsequent decision making. One way of dealing with this would be to remove outlying values from the datasets, either by judgment or by using statistical significant tests. Such an approach would, however, lead to an underestimation of the variance that is characteristic of the analytical method</w:t>
      </w:r>
      <w:r w:rsidRPr="0015505C">
        <w:rPr>
          <w:rFonts w:ascii="Calibri" w:eastAsia="Times New Roman" w:hAnsi="Calibri" w:cs="Arial"/>
          <w:color w:val="000000"/>
          <w:sz w:val="28"/>
          <w:szCs w:val="24"/>
          <w:vertAlign w:val="superscript"/>
        </w:rPr>
        <w:t>1</w:t>
      </w:r>
      <w:r w:rsidRPr="0015505C">
        <w:rPr>
          <w:rFonts w:ascii="Calibri" w:eastAsia="Times New Roman" w:hAnsi="Calibri" w:cs="Arial"/>
          <w:sz w:val="28"/>
          <w:szCs w:val="24"/>
        </w:rPr>
        <w:t xml:space="preserve">. An alternative method is to use </w:t>
      </w:r>
      <w:r w:rsidRPr="0015505C">
        <w:rPr>
          <w:rFonts w:ascii="Calibri" w:eastAsia="Times New Roman" w:hAnsi="Calibri" w:cs="Arial"/>
          <w:b/>
          <w:sz w:val="28"/>
          <w:szCs w:val="24"/>
        </w:rPr>
        <w:t>robust</w:t>
      </w:r>
      <w:r w:rsidRPr="0015505C">
        <w:rPr>
          <w:rFonts w:ascii="Calibri" w:eastAsia="Times New Roman" w:hAnsi="Calibri" w:cs="Arial"/>
          <w:sz w:val="28"/>
          <w:szCs w:val="24"/>
        </w:rPr>
        <w:t xml:space="preserve"> statistics in the ANOVA calculation.</w:t>
      </w:r>
      <w:r w:rsidR="00CE23BE">
        <w:rPr>
          <w:rFonts w:ascii="Calibri" w:eastAsia="Times New Roman" w:hAnsi="Calibri" w:cs="Arial"/>
          <w:sz w:val="28"/>
          <w:szCs w:val="24"/>
        </w:rPr>
        <w:t xml:space="preserve"> </w:t>
      </w:r>
      <w:r w:rsidRPr="0015505C">
        <w:rPr>
          <w:rFonts w:ascii="Calibri" w:eastAsia="Times New Roman" w:hAnsi="Calibri" w:cs="Arial"/>
          <w:sz w:val="28"/>
          <w:szCs w:val="24"/>
        </w:rPr>
        <w:t xml:space="preserve">This uses an iterative approach to </w:t>
      </w:r>
      <w:r w:rsidRPr="0015505C">
        <w:rPr>
          <w:rFonts w:ascii="Calibri" w:eastAsia="Times New Roman" w:hAnsi="Calibri" w:cs="Arial"/>
          <w:i/>
          <w:sz w:val="28"/>
          <w:szCs w:val="24"/>
        </w:rPr>
        <w:t xml:space="preserve">accommodate </w:t>
      </w:r>
      <w:r w:rsidRPr="0015505C">
        <w:rPr>
          <w:rFonts w:ascii="Calibri" w:eastAsia="Times New Roman" w:hAnsi="Calibri" w:cs="Arial"/>
          <w:sz w:val="28"/>
          <w:szCs w:val="24"/>
        </w:rPr>
        <w:t xml:space="preserve">rather than reject outlying values, while down-weighting their overall impact on the final result. The RANOVA program allows </w:t>
      </w:r>
      <w:r w:rsidRPr="0015505C">
        <w:rPr>
          <w:rFonts w:ascii="Calibri" w:eastAsia="Times New Roman" w:hAnsi="Calibri" w:cs="Arial"/>
          <w:b/>
          <w:sz w:val="28"/>
          <w:szCs w:val="24"/>
        </w:rPr>
        <w:t>robust ANOVA</w:t>
      </w:r>
      <w:r w:rsidRPr="0015505C">
        <w:rPr>
          <w:rFonts w:ascii="Calibri" w:eastAsia="Times New Roman" w:hAnsi="Calibri" w:cs="Arial"/>
          <w:sz w:val="28"/>
          <w:szCs w:val="24"/>
        </w:rPr>
        <w:t xml:space="preserve">  to be performed on both balanced and unbalanced designs.</w:t>
      </w:r>
    </w:p>
    <w:p w:rsidR="0015505C" w:rsidRPr="0015505C" w:rsidRDefault="0015505C" w:rsidP="0015505C">
      <w:pPr>
        <w:autoSpaceDE w:val="0"/>
        <w:autoSpaceDN w:val="0"/>
        <w:adjustRightInd w:val="0"/>
        <w:spacing w:after="0" w:line="240" w:lineRule="auto"/>
        <w:rPr>
          <w:rFonts w:ascii="Calibri" w:eastAsia="Times New Roman" w:hAnsi="Calibri" w:cs="Arial"/>
          <w:sz w:val="28"/>
          <w:szCs w:val="24"/>
        </w:rPr>
      </w:pPr>
    </w:p>
    <w:p w:rsidR="0015505C" w:rsidRPr="0015505C" w:rsidRDefault="0015505C" w:rsidP="0015505C">
      <w:pPr>
        <w:autoSpaceDE w:val="0"/>
        <w:autoSpaceDN w:val="0"/>
        <w:adjustRightInd w:val="0"/>
        <w:spacing w:after="0" w:line="240" w:lineRule="auto"/>
        <w:rPr>
          <w:rFonts w:ascii="Calibri" w:eastAsia="Times New Roman" w:hAnsi="Calibri" w:cs="Arial"/>
          <w:sz w:val="28"/>
          <w:szCs w:val="24"/>
        </w:rPr>
      </w:pPr>
      <w:r w:rsidRPr="0015505C">
        <w:rPr>
          <w:rFonts w:ascii="Calibri" w:eastAsia="Times New Roman" w:hAnsi="Calibri" w:cs="Arial"/>
          <w:sz w:val="28"/>
          <w:szCs w:val="24"/>
        </w:rPr>
        <w:t xml:space="preserve">The output from classical and robust ANOVA for the dataset in Fig 3 is summarised in Table 4. Using robust ANOVA has reduced the random component of sampling uncertainty (2s) from &gt; 110% (estimated by classical ANOVA) to 40%, which can be considered to be more representative of the typical differences between duplicated samples in the underlying population. </w:t>
      </w:r>
    </w:p>
    <w:p w:rsidR="0015505C" w:rsidRPr="0015505C" w:rsidRDefault="0015505C" w:rsidP="0015505C">
      <w:pPr>
        <w:autoSpaceDE w:val="0"/>
        <w:autoSpaceDN w:val="0"/>
        <w:adjustRightInd w:val="0"/>
        <w:spacing w:after="0" w:line="240" w:lineRule="auto"/>
        <w:rPr>
          <w:rFonts w:ascii="Calibri" w:eastAsia="Times New Roman" w:hAnsi="Calibri" w:cs="Arial"/>
          <w:sz w:val="28"/>
          <w:szCs w:val="24"/>
        </w:rPr>
      </w:pPr>
    </w:p>
    <w:p w:rsidR="0015505C" w:rsidRPr="0015505C" w:rsidRDefault="0015505C" w:rsidP="0015505C">
      <w:pPr>
        <w:autoSpaceDE w:val="0"/>
        <w:autoSpaceDN w:val="0"/>
        <w:adjustRightInd w:val="0"/>
        <w:spacing w:after="0" w:line="240" w:lineRule="auto"/>
        <w:rPr>
          <w:rFonts w:ascii="Calibri" w:eastAsia="Times New Roman" w:hAnsi="Calibri" w:cs="Arial"/>
          <w:sz w:val="28"/>
          <w:szCs w:val="24"/>
        </w:rPr>
      </w:pPr>
      <w:r>
        <w:rPr>
          <w:rFonts w:ascii="Times New Roman" w:eastAsia="Times New Roman" w:hAnsi="Times New Roman" w:cs="Arial"/>
          <w:noProof/>
          <w:sz w:val="24"/>
          <w:szCs w:val="24"/>
          <w:lang w:eastAsia="en-GB"/>
        </w:rPr>
        <w:drawing>
          <wp:inline distT="0" distB="0" distL="0" distR="0">
            <wp:extent cx="6019800" cy="12858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6019800" cy="1285875"/>
                    </a:xfrm>
                    <a:prstGeom prst="rect">
                      <a:avLst/>
                    </a:prstGeom>
                    <a:noFill/>
                    <a:ln w="9525">
                      <a:noFill/>
                      <a:miter lim="800000"/>
                      <a:headEnd/>
                      <a:tailEnd/>
                    </a:ln>
                  </pic:spPr>
                </pic:pic>
              </a:graphicData>
            </a:graphic>
          </wp:inline>
        </w:drawing>
      </w:r>
    </w:p>
    <w:p w:rsidR="0015505C" w:rsidRPr="0015505C" w:rsidRDefault="0015505C" w:rsidP="0015505C">
      <w:pPr>
        <w:autoSpaceDE w:val="0"/>
        <w:autoSpaceDN w:val="0"/>
        <w:adjustRightInd w:val="0"/>
        <w:spacing w:after="0" w:line="240" w:lineRule="auto"/>
        <w:rPr>
          <w:rFonts w:ascii="Calibri" w:eastAsia="Times New Roman" w:hAnsi="Calibri" w:cs="Arial"/>
          <w:sz w:val="28"/>
          <w:szCs w:val="24"/>
        </w:rPr>
      </w:pPr>
      <w:r w:rsidRPr="0015505C">
        <w:rPr>
          <w:rFonts w:ascii="Calibri" w:eastAsia="Times New Roman" w:hAnsi="Calibri" w:cs="Arial"/>
          <w:i/>
          <w:sz w:val="28"/>
          <w:szCs w:val="24"/>
        </w:rPr>
        <w:t xml:space="preserve">Table 1 Results of running </w:t>
      </w:r>
      <w:r w:rsidRPr="0015505C">
        <w:rPr>
          <w:rFonts w:ascii="Calibri" w:eastAsia="Times New Roman" w:hAnsi="Calibri" w:cs="Arial"/>
          <w:b/>
          <w:i/>
          <w:sz w:val="28"/>
          <w:szCs w:val="24"/>
        </w:rPr>
        <w:t>classical</w:t>
      </w:r>
      <w:r w:rsidRPr="0015505C">
        <w:rPr>
          <w:rFonts w:ascii="Calibri" w:eastAsia="Times New Roman" w:hAnsi="Calibri" w:cs="Arial"/>
          <w:i/>
          <w:sz w:val="28"/>
          <w:szCs w:val="24"/>
        </w:rPr>
        <w:t xml:space="preserve"> and </w:t>
      </w:r>
      <w:r w:rsidRPr="0015505C">
        <w:rPr>
          <w:rFonts w:ascii="Calibri" w:eastAsia="Times New Roman" w:hAnsi="Calibri" w:cs="Arial"/>
          <w:b/>
          <w:i/>
          <w:sz w:val="28"/>
          <w:szCs w:val="24"/>
        </w:rPr>
        <w:t xml:space="preserve">robust </w:t>
      </w:r>
      <w:r w:rsidRPr="0015505C">
        <w:rPr>
          <w:rFonts w:ascii="Calibri" w:eastAsia="Times New Roman" w:hAnsi="Calibri" w:cs="Arial"/>
          <w:i/>
          <w:sz w:val="28"/>
          <w:szCs w:val="24"/>
        </w:rPr>
        <w:t xml:space="preserve">ANOVA on the datasets shown in Fig 3. </w:t>
      </w:r>
    </w:p>
    <w:p w:rsidR="0015505C" w:rsidRPr="0015505C" w:rsidRDefault="0015505C" w:rsidP="0015505C">
      <w:pPr>
        <w:autoSpaceDE w:val="0"/>
        <w:autoSpaceDN w:val="0"/>
        <w:adjustRightInd w:val="0"/>
        <w:spacing w:after="0" w:line="240" w:lineRule="auto"/>
        <w:rPr>
          <w:rFonts w:ascii="Calibri" w:eastAsia="Times New Roman" w:hAnsi="Calibri" w:cs="Arial"/>
          <w:sz w:val="28"/>
          <w:szCs w:val="24"/>
        </w:rPr>
      </w:pPr>
    </w:p>
    <w:p w:rsidR="0015505C" w:rsidRPr="0015505C" w:rsidRDefault="0015505C" w:rsidP="0015505C">
      <w:pPr>
        <w:autoSpaceDE w:val="0"/>
        <w:autoSpaceDN w:val="0"/>
        <w:adjustRightInd w:val="0"/>
        <w:spacing w:after="0" w:line="240" w:lineRule="auto"/>
        <w:rPr>
          <w:rFonts w:ascii="Calibri" w:eastAsia="Times New Roman" w:hAnsi="Calibri" w:cs="Arial"/>
          <w:color w:val="000000"/>
          <w:sz w:val="28"/>
          <w:szCs w:val="24"/>
        </w:rPr>
      </w:pPr>
      <w:r w:rsidRPr="0015505C">
        <w:rPr>
          <w:rFonts w:ascii="Calibri" w:eastAsia="Times New Roman" w:hAnsi="Calibri" w:cs="Arial"/>
          <w:sz w:val="28"/>
          <w:szCs w:val="24"/>
        </w:rPr>
        <w:t xml:space="preserve">More examples and details of the robust ANOVA calculations can be found in Rostron </w:t>
      </w:r>
      <w:r w:rsidRPr="0015505C">
        <w:rPr>
          <w:rFonts w:ascii="Calibri" w:eastAsia="Times New Roman" w:hAnsi="Calibri" w:cs="Arial"/>
          <w:i/>
          <w:sz w:val="28"/>
          <w:szCs w:val="24"/>
        </w:rPr>
        <w:t>et al</w:t>
      </w:r>
      <w:r w:rsidRPr="0015505C">
        <w:rPr>
          <w:rFonts w:ascii="Calibri" w:eastAsia="Times New Roman" w:hAnsi="Calibri" w:cs="Arial"/>
          <w:sz w:val="28"/>
          <w:szCs w:val="24"/>
        </w:rPr>
        <w:t xml:space="preserve"> (2012)</w:t>
      </w:r>
      <w:r w:rsidRPr="0015505C">
        <w:rPr>
          <w:rFonts w:ascii="Calibri" w:eastAsia="Times New Roman" w:hAnsi="Calibri" w:cs="Arial"/>
          <w:sz w:val="28"/>
          <w:szCs w:val="24"/>
          <w:vertAlign w:val="superscript"/>
        </w:rPr>
        <w:t>4</w:t>
      </w:r>
      <w:r w:rsidRPr="0015505C">
        <w:rPr>
          <w:rFonts w:ascii="Calibri" w:eastAsia="Times New Roman" w:hAnsi="Calibri" w:cs="Arial"/>
          <w:sz w:val="28"/>
          <w:szCs w:val="24"/>
        </w:rPr>
        <w:t>, AMC (2001)</w:t>
      </w:r>
      <w:r w:rsidRPr="0015505C">
        <w:rPr>
          <w:rFonts w:ascii="Calibri" w:eastAsia="Times New Roman" w:hAnsi="Calibri" w:cs="Arial"/>
          <w:sz w:val="28"/>
          <w:szCs w:val="24"/>
          <w:vertAlign w:val="superscript"/>
        </w:rPr>
        <w:t>5</w:t>
      </w:r>
      <w:r w:rsidRPr="0015505C">
        <w:rPr>
          <w:rFonts w:ascii="Calibri" w:eastAsia="Times New Roman" w:hAnsi="Calibri" w:cs="Arial"/>
          <w:sz w:val="28"/>
          <w:szCs w:val="24"/>
        </w:rPr>
        <w:t>, AMC (1987a)</w:t>
      </w:r>
      <w:r w:rsidRPr="0015505C">
        <w:rPr>
          <w:rFonts w:ascii="Calibri" w:eastAsia="Times New Roman" w:hAnsi="Calibri" w:cs="Arial"/>
          <w:sz w:val="28"/>
          <w:szCs w:val="24"/>
          <w:vertAlign w:val="superscript"/>
        </w:rPr>
        <w:t>6</w:t>
      </w:r>
      <w:r w:rsidRPr="0015505C">
        <w:rPr>
          <w:rFonts w:ascii="Calibri" w:eastAsia="Times New Roman" w:hAnsi="Calibri" w:cs="Arial"/>
          <w:sz w:val="28"/>
          <w:szCs w:val="24"/>
        </w:rPr>
        <w:t xml:space="preserve"> and AMC (1987b)</w:t>
      </w:r>
      <w:r w:rsidRPr="0015505C">
        <w:rPr>
          <w:rFonts w:ascii="Calibri" w:eastAsia="Times New Roman" w:hAnsi="Calibri" w:cs="Arial"/>
          <w:sz w:val="28"/>
          <w:szCs w:val="24"/>
          <w:vertAlign w:val="superscript"/>
        </w:rPr>
        <w:t xml:space="preserve">7 </w:t>
      </w:r>
      <w:hyperlink r:id="rId6" w:history="1">
        <w:r w:rsidRPr="0015505C">
          <w:rPr>
            <w:rFonts w:ascii="Calibri" w:eastAsia="Times New Roman" w:hAnsi="Calibri" w:cs="Arial"/>
            <w:color w:val="0000FF"/>
            <w:sz w:val="28"/>
            <w:szCs w:val="24"/>
            <w:u w:val="single"/>
          </w:rPr>
          <w:t>See References</w:t>
        </w:r>
      </w:hyperlink>
      <w:r w:rsidRPr="0015505C">
        <w:rPr>
          <w:rFonts w:ascii="Calibri" w:eastAsia="Times New Roman" w:hAnsi="Calibri" w:cs="Arial"/>
          <w:color w:val="000000"/>
          <w:sz w:val="28"/>
          <w:szCs w:val="24"/>
        </w:rPr>
        <w:t>.</w:t>
      </w:r>
    </w:p>
    <w:p w:rsidR="00096C36" w:rsidRDefault="00096C36"/>
    <w:sectPr w:rsidR="00096C36" w:rsidSect="00D92A93">
      <w:pgSz w:w="12240" w:h="15840"/>
      <w:pgMar w:top="1440" w:right="1800" w:bottom="1440" w:left="36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20"/>
  <w:characterSpacingControl w:val="doNotCompress"/>
  <w:compat/>
  <w:rsids>
    <w:rsidRoot w:val="0015505C"/>
    <w:rsid w:val="00096C36"/>
    <w:rsid w:val="0015505C"/>
    <w:rsid w:val="001B312D"/>
    <w:rsid w:val="00CE23B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C3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550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505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references" TargetMode="Externa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431</Words>
  <Characters>2457</Characters>
  <Application>Microsoft Office Word</Application>
  <DocSecurity>0</DocSecurity>
  <Lines>20</Lines>
  <Paragraphs>5</Paragraphs>
  <ScaleCrop>false</ScaleCrop>
  <Company/>
  <LinksUpToDate>false</LinksUpToDate>
  <CharactersWithSpaces>2883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PRostron</dc:creator>
  <cp:lastModifiedBy>PRostron</cp:lastModifiedBy>
  <cp:revision>2</cp:revision>
  <dcterms:created xsi:type="dcterms:W3CDTF">2013-12-01T09:35:00Z</dcterms:created>
  <dcterms:modified xsi:type="dcterms:W3CDTF">2013-12-01T09:40:00Z</dcterms:modified>
</cp:coreProperties>
</file>